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mbria" w:hAnsi="Cambria"/>
          <w:b/>
          <w:sz w:val="22"/>
        </w:rPr>
        <w:t>MÉTIS</w:t>
      </w:r>
    </w:p>
    <w:p>
      <w:pPr>
        <w:jc w:val="left"/>
      </w:pPr>
      <w:r>
        <w:rPr>
          <w:color w:val="6B665C"/>
          <w:sz w:val="18"/>
        </w:rPr>
        <w:t>Tabela de Conferência · Template para análises</w:t>
      </w:r>
    </w:p>
    <w:p/>
    <w:p>
      <w:pPr>
        <w:jc w:val="left"/>
      </w:pPr>
      <w:r>
        <w:rPr>
          <w:rFonts w:ascii="Cambria" w:hAnsi="Cambria"/>
          <w:b/>
          <w:sz w:val="28"/>
        </w:rPr>
        <w:t>PARECER TÉCNICO Nº [   ]</w:t>
      </w:r>
    </w:p>
    <w:p>
      <w:pPr>
        <w:jc w:val="left"/>
      </w:pPr>
      <w:r>
        <w:rPr>
          <w:b/>
          <w:color w:val="C2A35A"/>
        </w:rPr>
        <w:t>_______________</w:t>
      </w:r>
    </w:p>
    <w:p>
      <w:r>
        <w:rPr>
          <w:color w:val="6B665C"/>
          <w:sz w:val="18"/>
        </w:rPr>
        <w:t>Cliente: [Nome do Cliente]    ·    Data: [DD/MM/AAAA]    ·    Conselheiro: [Nome]</w:t>
      </w:r>
    </w:p>
    <w:p/>
    <w:p/>
    <w:tbl>
      <w:tblPr>
        <w:tblStyle w:val="LightList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/>
            <w:r>
              <w:rPr>
                <w:rFonts w:ascii="Consolas" w:hAnsi="Consolas"/>
                <w:b/>
                <w:color w:val="14161B"/>
                <w:sz w:val="22"/>
              </w:rPr>
              <w:t>rubrica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b/>
                <w:color w:val="14161B"/>
                <w:sz w:val="22"/>
              </w:rPr>
              <w:t>declarado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b/>
                <w:color w:val="14161B"/>
                <w:sz w:val="22"/>
              </w:rPr>
              <w:t>apurado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onsolas" w:hAnsi="Consolas"/>
                <w:color w:val="6B665C"/>
                <w:sz w:val="22"/>
              </w:rPr>
              <w:t>estoque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8.114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8.114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onsolas" w:hAnsi="Consolas"/>
                <w:color w:val="6B665C"/>
                <w:sz w:val="22"/>
              </w:rPr>
              <w:t>recebíveis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12.907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b/>
                <w:color w:val="14161B"/>
                <w:sz w:val="22"/>
              </w:rPr>
              <w:t>9.302 ←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onsolas" w:hAnsi="Consolas"/>
                <w:color w:val="6B665C"/>
                <w:sz w:val="22"/>
              </w:rPr>
              <w:t>fornecedores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4.420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4.420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onsolas" w:hAnsi="Consolas"/>
                <w:color w:val="6B665C"/>
                <w:sz w:val="22"/>
              </w:rPr>
              <w:t>impostos diferidos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1.155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b/>
                <w:color w:val="14161B"/>
                <w:sz w:val="22"/>
              </w:rPr>
              <w:t>2.103 ←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onsolas" w:hAnsi="Consolas"/>
                <w:color w:val="6B665C"/>
                <w:sz w:val="22"/>
              </w:rPr>
              <w:t>imobilizado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23.500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23.500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onsolas" w:hAnsi="Consolas"/>
                <w:color w:val="6B665C"/>
                <w:sz w:val="22"/>
              </w:rPr>
              <w:t>[adicione mais linhas]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—</w:t>
            </w:r>
          </w:p>
        </w:tc>
        <w:tc>
          <w:tcPr>
            <w:tcW w:type="dxa" w:w="3135"/>
          </w:tcPr>
          <w:p>
            <w:pPr>
              <w:jc w:val="right"/>
            </w:pPr>
            <w:r/>
            <w:r>
              <w:rPr>
                <w:rFonts w:ascii="Consolas" w:hAnsi="Consolas"/>
                <w:color w:val="6B665C"/>
                <w:sz w:val="22"/>
              </w:rPr>
              <w:t>—</w:t>
            </w:r>
          </w:p>
        </w:tc>
      </w:tr>
    </w:tbl>
    <w:p/>
    <w:p/>
    <w:p>
      <w:r>
        <w:rPr>
          <w:rFonts w:ascii="Cambria" w:hAnsi="Cambria"/>
          <w:b/>
          <w:sz w:val="24"/>
        </w:rPr>
        <w:t>Observações</w:t>
      </w:r>
    </w:p>
    <w:p>
      <w:r>
        <w:rPr>
          <w:i/>
          <w:color w:val="8B8276"/>
          <w:sz w:val="20"/>
        </w:rPr>
        <w:t>[Espaço para a leitura escrita do conselheiro. Cada divergência marcada com seta acima merece um parágrafo curto explicando a origem do desvio e a recomendação técnica.]</w:t>
      </w:r>
    </w:p>
    <w:p/>
    <w:p/>
    <w:p>
      <w:pPr>
        <w:jc w:val="left"/>
      </w:pPr>
      <w:r>
        <w:rPr>
          <w:rFonts w:ascii="Cambria" w:hAnsi="Cambria"/>
          <w:b/>
          <w:sz w:val="20"/>
        </w:rPr>
        <w:t>Padrão de Diagramação</w:t>
      </w:r>
    </w:p>
    <w:p>
      <w:r>
        <w:rPr>
          <w:color w:val="6B665C"/>
          <w:sz w:val="18"/>
        </w:rPr>
        <w:t>• Tipografia: IBM Plex Mono ou Consolas (sempre monoespaçada).</w:t>
      </w:r>
    </w:p>
    <w:p>
      <w:r>
        <w:rPr>
          <w:color w:val="6B665C"/>
          <w:sz w:val="18"/>
        </w:rPr>
        <w:t>• Cabeçalho com fio forte; linhas com fio fino.</w:t>
      </w:r>
    </w:p>
    <w:p>
      <w:r>
        <w:rPr>
          <w:color w:val="6B665C"/>
          <w:sz w:val="18"/>
        </w:rPr>
        <w:t>• Divergência marcada com seta '←' e valor em negrito. Nunca com cor.</w:t>
      </w:r>
    </w:p>
    <w:p>
      <w:r>
        <w:rPr>
          <w:color w:val="6B665C"/>
          <w:sz w:val="18"/>
        </w:rPr>
        <w:t>• Convergência permanece em opacidade reduzida — sem destaque visual.</w:t>
      </w:r>
    </w:p>
    <w:p>
      <w:r>
        <w:rPr>
          <w:color w:val="6B665C"/>
          <w:sz w:val="18"/>
        </w:rPr>
        <w:t>• Proibido: gradientes, ícones decorativos, cores semafóricas (verde/vermelho).</w:t>
      </w:r>
    </w:p>
    <w:p>
      <w:r>
        <w:rPr>
          <w:color w:val="6B665C"/>
          <w:sz w:val="18"/>
        </w:rPr>
        <w:t>• A evidência é o argumento. A tabela é o retrato oficial da Métis.</w:t>
      </w:r>
    </w:p>
    <w:p/>
    <w:p/>
    <w:p>
      <w:pPr>
        <w:jc w:val="center"/>
      </w:pPr>
      <w:r>
        <w:rPr>
          <w:color w:val="8A6B42"/>
          <w:sz w:val="16"/>
        </w:rPr>
        <w:t>MÉTIS · GOIÂNIA GO    ·    fl. 01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